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0912" w14:textId="77777777" w:rsidR="00920E54" w:rsidRDefault="00920E54" w:rsidP="009E12B3">
      <w:bookmarkStart w:id="0" w:name="_GoBack"/>
      <w:bookmarkEnd w:id="0"/>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18D8D2B8" w14:textId="77777777" w:rsidR="00920E54" w:rsidRDefault="00920E54" w:rsidP="009E12B3">
      <w:r>
        <w:rPr>
          <w:noProof/>
        </w:rPr>
        <mc:AlternateContent>
          <mc:Choice Requires="wps">
            <w:drawing>
              <wp:anchor distT="0" distB="0" distL="114300" distR="114300" simplePos="0" relativeHeight="251659264" behindDoc="0" locked="0" layoutInCell="1" allowOverlap="1" wp14:anchorId="59285195" wp14:editId="7ACEB27E">
                <wp:simplePos x="0" y="0"/>
                <wp:positionH relativeFrom="column">
                  <wp:posOffset>-906780</wp:posOffset>
                </wp:positionH>
                <wp:positionV relativeFrom="paragraph">
                  <wp:posOffset>344805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ACC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27.15pt" to="539.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" strokecolor="#f6d716" strokeweight="2.25pt">
                <v:stroke joinstyle="miter"/>
              </v:line>
            </w:pict>
          </mc:Fallback>
        </mc:AlternateContent>
      </w:r>
    </w:p>
    <w:p w14:paraId="5118A539" w14:textId="77777777" w:rsidR="00A67D39" w:rsidRDefault="00A67D39" w:rsidP="009E12B3"/>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03DB3344">
                <wp:simplePos x="0" y="0"/>
                <wp:positionH relativeFrom="page">
                  <wp:posOffset>0</wp:posOffset>
                </wp:positionH>
                <wp:positionV relativeFrom="paragraph">
                  <wp:posOffset>485140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53FB8"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1A95CEC1" w14:textId="77777777" w:rsidR="0096702A" w:rsidRDefault="0096702A" w:rsidP="00F6509B">
      <w:pPr>
        <w:spacing w:after="0"/>
        <w:jc w:val="center"/>
        <w:rPr>
          <w:color w:val="025598"/>
          <w:sz w:val="44"/>
        </w:rPr>
      </w:pP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199A56C5" w:rsidR="00540DD1" w:rsidRPr="00A64464" w:rsidRDefault="00540DD1" w:rsidP="00A64464">
      <w:pPr>
        <w:rPr>
          <w:rFonts w:asciiTheme="minorHAnsi" w:eastAsiaTheme="majorEastAsia" w:hAnsiTheme="minorHAnsi" w:cstheme="minorHAnsi"/>
          <w:bCs/>
          <w:iCs/>
          <w:color w:val="auto"/>
          <w:szCs w:val="24"/>
        </w:rPr>
      </w:pPr>
      <w:bookmarkStart w:id="1"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1"/>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1D9B934A" w14:textId="77777777" w:rsidR="00A64464" w:rsidRPr="00A64464" w:rsidRDefault="00A64464" w:rsidP="00A64464">
      <w:pPr>
        <w:pStyle w:val="Heading4"/>
        <w:rPr>
          <w:sz w:val="30"/>
          <w:szCs w:val="30"/>
        </w:rPr>
      </w:pPr>
      <w:r w:rsidRPr="00A64464">
        <w:rPr>
          <w:sz w:val="30"/>
          <w:szCs w:val="30"/>
        </w:rPr>
        <w:t>Onboarding to ENS</w:t>
      </w:r>
    </w:p>
    <w:p w14:paraId="746E5253" w14:textId="77777777" w:rsidR="00A64464" w:rsidRPr="00E8692A" w:rsidRDefault="00E8692A" w:rsidP="00E8692A">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9"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0"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1"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2"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47592F31" w14:textId="77777777" w:rsidR="00AB54FA" w:rsidRDefault="00AB54FA" w:rsidP="00920E54"/>
    <w:p w14:paraId="43743A26" w14:textId="77777777" w:rsidR="00F229F4" w:rsidRDefault="00F229F4" w:rsidP="00F229F4">
      <w:pPr>
        <w:jc w:val="center"/>
        <w:rPr>
          <w:b/>
          <w:color w:val="025598"/>
          <w:sz w:val="44"/>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E7BF5"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22355AF7">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B0224"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ENS Onboarding Checklist</w:t>
      </w:r>
    </w:p>
    <w:p w14:paraId="5CE7AB5B" w14:textId="77777777" w:rsidR="00DA6AFB" w:rsidRDefault="00DA6AFB" w:rsidP="00DA6AFB">
      <w:pPr>
        <w:pStyle w:val="Heading4"/>
        <w:spacing w:before="0"/>
        <w:rPr>
          <w:sz w:val="30"/>
          <w:szCs w:val="30"/>
        </w:rPr>
      </w:pPr>
    </w:p>
    <w:p w14:paraId="3EA59CF2" w14:textId="77777777"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3955"/>
        <w:gridCol w:w="5395"/>
      </w:tblGrid>
      <w:tr w:rsidR="006D13C3" w:rsidRPr="006D13C3" w14:paraId="65F35A01" w14:textId="77777777" w:rsidTr="00AF2899">
        <w:tc>
          <w:tcPr>
            <w:tcW w:w="3955" w:type="dxa"/>
          </w:tcPr>
          <w:p w14:paraId="7282D66A"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395" w:type="dxa"/>
          </w:tcPr>
          <w:p w14:paraId="20688CEE"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p>
        </w:tc>
      </w:tr>
      <w:tr w:rsidR="006D13C3" w:rsidRPr="006D13C3" w14:paraId="5D96F412" w14:textId="77777777" w:rsidTr="00AF2899">
        <w:tc>
          <w:tcPr>
            <w:tcW w:w="3955" w:type="dxa"/>
          </w:tcPr>
          <w:p w14:paraId="43D0C682"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p>
        </w:tc>
        <w:tc>
          <w:tcPr>
            <w:tcW w:w="5395" w:type="dxa"/>
          </w:tcPr>
          <w:p w14:paraId="3B5C4384"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p>
        </w:tc>
      </w:tr>
      <w:tr w:rsidR="006D13C3" w:rsidRPr="006D13C3" w14:paraId="6007F2CB" w14:textId="77777777" w:rsidTr="00AF2899">
        <w:tc>
          <w:tcPr>
            <w:tcW w:w="3955" w:type="dxa"/>
          </w:tcPr>
          <w:p w14:paraId="031E3D92"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3A2CB426"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p>
        </w:tc>
      </w:tr>
      <w:tr w:rsidR="006D13C3" w:rsidRPr="006D13C3" w14:paraId="7382F6C5" w14:textId="77777777" w:rsidTr="00AF2899">
        <w:tc>
          <w:tcPr>
            <w:tcW w:w="3955" w:type="dxa"/>
          </w:tcPr>
          <w:p w14:paraId="2BFA3030"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38175E21" w14:textId="77777777" w:rsidR="006D13C3" w:rsidRPr="006D13C3" w:rsidRDefault="006D13C3" w:rsidP="00801694">
            <w:pPr>
              <w:pStyle w:val="Heading4"/>
              <w:spacing w:before="0" w:line="276" w:lineRule="auto"/>
              <w:outlineLvl w:val="3"/>
              <w:rPr>
                <w:rFonts w:asciiTheme="minorHAnsi" w:hAnsiTheme="minorHAnsi" w:cstheme="minorHAnsi"/>
                <w:b w:val="0"/>
                <w:color w:val="auto"/>
                <w:sz w:val="24"/>
                <w:szCs w:val="24"/>
              </w:rPr>
            </w:pPr>
          </w:p>
        </w:tc>
      </w:tr>
      <w:tr w:rsidR="00BA50A5" w:rsidRPr="006D13C3" w14:paraId="00124221" w14:textId="77777777" w:rsidTr="00AF2899">
        <w:tc>
          <w:tcPr>
            <w:tcW w:w="3955" w:type="dxa"/>
          </w:tcPr>
          <w:p w14:paraId="0241DB28" w14:textId="77777777" w:rsidR="00BA50A5" w:rsidRDefault="00BA50A5"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5395" w:type="dxa"/>
          </w:tcPr>
          <w:p w14:paraId="33813D1D" w14:textId="77777777" w:rsidR="00BA50A5" w:rsidRPr="006D13C3" w:rsidRDefault="00BA50A5" w:rsidP="00801694">
            <w:pPr>
              <w:pStyle w:val="Heading4"/>
              <w:spacing w:before="0" w:line="276" w:lineRule="auto"/>
              <w:outlineLvl w:val="3"/>
              <w:rPr>
                <w:rFonts w:asciiTheme="minorHAnsi" w:hAnsiTheme="minorHAnsi" w:cstheme="minorHAnsi"/>
                <w:b w:val="0"/>
                <w:color w:val="auto"/>
                <w:sz w:val="24"/>
                <w:szCs w:val="24"/>
              </w:rPr>
            </w:pPr>
          </w:p>
        </w:tc>
      </w:tr>
      <w:tr w:rsidR="000C0FDC" w:rsidRPr="006D13C3" w14:paraId="65077A36" w14:textId="77777777" w:rsidTr="00AF2899">
        <w:tc>
          <w:tcPr>
            <w:tcW w:w="3955" w:type="dxa"/>
          </w:tcPr>
          <w:p w14:paraId="577FA622" w14:textId="77777777" w:rsidR="000C0FDC" w:rsidRDefault="000C0FDC"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5395" w:type="dxa"/>
          </w:tcPr>
          <w:p w14:paraId="57153E65" w14:textId="77777777" w:rsidR="000C0FDC" w:rsidRPr="006D13C3" w:rsidRDefault="000C0FDC" w:rsidP="00801694">
            <w:pPr>
              <w:pStyle w:val="Heading4"/>
              <w:spacing w:before="0" w:line="276" w:lineRule="auto"/>
              <w:outlineLvl w:val="3"/>
              <w:rPr>
                <w:rFonts w:asciiTheme="minorHAnsi" w:hAnsiTheme="minorHAnsi" w:cstheme="minorHAnsi"/>
                <w:b w:val="0"/>
                <w:color w:val="auto"/>
                <w:sz w:val="24"/>
                <w:szCs w:val="24"/>
              </w:rPr>
            </w:pPr>
          </w:p>
        </w:tc>
      </w:tr>
      <w:tr w:rsidR="000C0FDC" w:rsidRPr="006D13C3" w14:paraId="354E41E6" w14:textId="77777777" w:rsidTr="00AF2899">
        <w:tc>
          <w:tcPr>
            <w:tcW w:w="3955" w:type="dxa"/>
          </w:tcPr>
          <w:p w14:paraId="6AE85B6E" w14:textId="77777777" w:rsidR="000C0FDC" w:rsidRDefault="000C0FDC"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5395" w:type="dxa"/>
          </w:tcPr>
          <w:p w14:paraId="6F0887CA" w14:textId="77777777" w:rsidR="000C0FDC" w:rsidRPr="006D13C3" w:rsidRDefault="000C0FDC" w:rsidP="00801694">
            <w:pPr>
              <w:pStyle w:val="Heading4"/>
              <w:spacing w:before="0" w:line="276" w:lineRule="auto"/>
              <w:outlineLvl w:val="3"/>
              <w:rPr>
                <w:rFonts w:asciiTheme="minorHAnsi" w:hAnsiTheme="minorHAnsi" w:cstheme="minorHAnsi"/>
                <w:b w:val="0"/>
                <w:color w:val="auto"/>
                <w:sz w:val="24"/>
                <w:szCs w:val="24"/>
              </w:rPr>
            </w:pPr>
          </w:p>
        </w:tc>
      </w:tr>
      <w:tr w:rsidR="00AF2899" w:rsidRPr="006D13C3" w14:paraId="6B2500AD" w14:textId="77777777" w:rsidTr="00AF2899">
        <w:tc>
          <w:tcPr>
            <w:tcW w:w="3955" w:type="dxa"/>
          </w:tcPr>
          <w:p w14:paraId="1642F597" w14:textId="77777777" w:rsidR="00AF2899" w:rsidRDefault="000C0FDC"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5395" w:type="dxa"/>
          </w:tcPr>
          <w:p w14:paraId="21D45DF3" w14:textId="77777777" w:rsidR="00AF2899" w:rsidRPr="006D13C3" w:rsidRDefault="00AF2899" w:rsidP="00801694">
            <w:pPr>
              <w:pStyle w:val="Heading4"/>
              <w:spacing w:before="0" w:line="276" w:lineRule="auto"/>
              <w:outlineLvl w:val="3"/>
              <w:rPr>
                <w:rFonts w:asciiTheme="minorHAnsi" w:hAnsiTheme="minorHAnsi" w:cstheme="minorHAnsi"/>
                <w:b w:val="0"/>
                <w:color w:val="auto"/>
                <w:sz w:val="24"/>
                <w:szCs w:val="24"/>
              </w:rPr>
            </w:pPr>
          </w:p>
        </w:tc>
      </w:tr>
      <w:tr w:rsidR="00BA50A5" w:rsidRPr="006D13C3" w14:paraId="7463EB86" w14:textId="77777777" w:rsidTr="00AF2899">
        <w:tc>
          <w:tcPr>
            <w:tcW w:w="3955" w:type="dxa"/>
          </w:tcPr>
          <w:p w14:paraId="0597DF0B" w14:textId="7305587C" w:rsidR="00BA50A5" w:rsidRDefault="000C0FDC"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Will </w:t>
            </w:r>
            <w:r w:rsidR="0049609B">
              <w:rPr>
                <w:rFonts w:asciiTheme="minorHAnsi" w:hAnsiTheme="minorHAnsi" w:cstheme="minorHAnsi"/>
                <w:b w:val="0"/>
                <w:color w:val="auto"/>
                <w:sz w:val="24"/>
                <w:szCs w:val="24"/>
              </w:rPr>
              <w:t xml:space="preserve">your panel include </w:t>
            </w:r>
            <w:r>
              <w:rPr>
                <w:rFonts w:asciiTheme="minorHAnsi" w:hAnsiTheme="minorHAnsi" w:cstheme="minorHAnsi"/>
                <w:b w:val="0"/>
                <w:color w:val="auto"/>
                <w:sz w:val="24"/>
                <w:szCs w:val="24"/>
              </w:rPr>
              <w:t xml:space="preserve">Medicaid </w:t>
            </w:r>
            <w:r w:rsidR="0049609B">
              <w:rPr>
                <w:rFonts w:asciiTheme="minorHAnsi" w:hAnsiTheme="minorHAnsi" w:cstheme="minorHAnsi"/>
                <w:b w:val="0"/>
                <w:color w:val="auto"/>
                <w:sz w:val="24"/>
                <w:szCs w:val="24"/>
              </w:rPr>
              <w:t>patients</w:t>
            </w:r>
            <w:r>
              <w:rPr>
                <w:rFonts w:asciiTheme="minorHAnsi" w:hAnsiTheme="minorHAnsi" w:cstheme="minorHAnsi"/>
                <w:b w:val="0"/>
                <w:color w:val="auto"/>
                <w:sz w:val="24"/>
                <w:szCs w:val="24"/>
              </w:rPr>
              <w:t>? Y/N</w:t>
            </w:r>
          </w:p>
        </w:tc>
        <w:tc>
          <w:tcPr>
            <w:tcW w:w="5395" w:type="dxa"/>
          </w:tcPr>
          <w:p w14:paraId="2E545594" w14:textId="77777777" w:rsidR="00BA50A5" w:rsidRPr="006D13C3" w:rsidRDefault="00BA50A5" w:rsidP="00801694">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lastRenderedPageBreak/>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3"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4"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14B6B279" w14:textId="0FB12CB9" w:rsidR="00F14F76" w:rsidRDefault="00AE4E75"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Standard delivery options for notifications include SFTP,</w:t>
      </w:r>
      <w:r w:rsidR="00E92F0C">
        <w:rPr>
          <w:rFonts w:asciiTheme="minorHAnsi" w:eastAsiaTheme="majorEastAsia" w:hAnsiTheme="minorHAnsi" w:cstheme="minorHAnsi"/>
          <w:bCs/>
          <w:iCs/>
          <w:color w:val="auto"/>
          <w:szCs w:val="24"/>
        </w:rPr>
        <w:t xml:space="preserve"> Virtual Private Network (VPN),</w:t>
      </w:r>
      <w:r>
        <w:rPr>
          <w:rFonts w:asciiTheme="minorHAnsi" w:eastAsiaTheme="majorEastAsia" w:hAnsiTheme="minorHAnsi" w:cstheme="minorHAnsi"/>
          <w:bCs/>
          <w:iCs/>
          <w:color w:val="auto"/>
          <w:szCs w:val="24"/>
        </w:rPr>
        <w:t xml:space="preserve"> Direct, and the Proactive Management of Patient Transitions (PROMPT) web portal. </w:t>
      </w:r>
      <w:r w:rsidR="00515673" w:rsidRPr="00AB10F7">
        <w:rPr>
          <w:rFonts w:asciiTheme="minorHAnsi" w:eastAsiaTheme="majorEastAsia" w:hAnsiTheme="minorHAnsi" w:cstheme="minorHAnsi"/>
          <w:bCs/>
          <w:iCs/>
          <w:color w:val="auto"/>
          <w:szCs w:val="24"/>
        </w:rPr>
        <w:t xml:space="preserve">For Florida HIE Services SFTP and PROMPT endpoints, notifications </w:t>
      </w:r>
      <w:r w:rsidR="00515673">
        <w:rPr>
          <w:rFonts w:asciiTheme="minorHAnsi" w:eastAsiaTheme="majorEastAsia" w:hAnsiTheme="minorHAnsi" w:cstheme="minorHAnsi"/>
          <w:bCs/>
          <w:iCs/>
          <w:color w:val="auto"/>
          <w:szCs w:val="24"/>
        </w:rPr>
        <w:t>are hosted</w:t>
      </w:r>
      <w:r w:rsidR="00515673" w:rsidRPr="00AB10F7">
        <w:rPr>
          <w:rFonts w:asciiTheme="minorHAnsi" w:eastAsiaTheme="majorEastAsia" w:hAnsiTheme="minorHAnsi" w:cstheme="minorHAnsi"/>
          <w:bCs/>
          <w:iCs/>
          <w:color w:val="auto"/>
          <w:szCs w:val="24"/>
        </w:rPr>
        <w:t xml:space="preserve"> in the </w:t>
      </w:r>
      <w:r w:rsidR="00515673">
        <w:rPr>
          <w:rFonts w:asciiTheme="minorHAnsi" w:eastAsiaTheme="majorEastAsia" w:hAnsiTheme="minorHAnsi" w:cstheme="minorHAnsi"/>
          <w:bCs/>
          <w:iCs/>
          <w:color w:val="auto"/>
          <w:szCs w:val="24"/>
        </w:rPr>
        <w:t>Florida HIE Services vendor’s</w:t>
      </w:r>
      <w:r w:rsidR="00515673" w:rsidRPr="00AB10F7">
        <w:rPr>
          <w:rFonts w:asciiTheme="minorHAnsi" w:eastAsiaTheme="majorEastAsia" w:hAnsiTheme="minorHAnsi" w:cstheme="minorHAnsi"/>
          <w:bCs/>
          <w:iCs/>
          <w:color w:val="auto"/>
          <w:szCs w:val="24"/>
        </w:rPr>
        <w:t xml:space="preserve"> environment</w:t>
      </w:r>
      <w:r w:rsidR="00515673">
        <w:rPr>
          <w:rFonts w:asciiTheme="minorHAnsi" w:eastAsiaTheme="majorEastAsia" w:hAnsiTheme="minorHAnsi" w:cstheme="minorHAnsi"/>
          <w:bCs/>
          <w:iCs/>
          <w:color w:val="auto"/>
          <w:szCs w:val="24"/>
        </w:rPr>
        <w:t xml:space="preserve"> solely for the use of the receiving subscriber</w:t>
      </w:r>
      <w:r w:rsidR="00515673" w:rsidRPr="00AB10F7">
        <w:rPr>
          <w:rFonts w:asciiTheme="minorHAnsi" w:eastAsiaTheme="majorEastAsia" w:hAnsiTheme="minorHAnsi" w:cstheme="minorHAnsi"/>
          <w:bCs/>
          <w:iCs/>
          <w:color w:val="auto"/>
          <w:szCs w:val="24"/>
        </w:rPr>
        <w:t xml:space="preserve">. </w:t>
      </w:r>
      <w:r>
        <w:rPr>
          <w:rFonts w:asciiTheme="minorHAnsi" w:eastAsiaTheme="majorEastAsia" w:hAnsiTheme="minorHAnsi" w:cstheme="minorHAnsi"/>
          <w:bCs/>
          <w:iCs/>
          <w:color w:val="auto"/>
          <w:szCs w:val="24"/>
        </w:rPr>
        <w:t xml:space="preserve">Indicate your preferred delivery </w:t>
      </w:r>
      <w:r w:rsidR="00337FB3">
        <w:rPr>
          <w:rFonts w:asciiTheme="minorHAnsi" w:eastAsiaTheme="majorEastAsia" w:hAnsiTheme="minorHAnsi" w:cstheme="minorHAnsi"/>
          <w:bCs/>
          <w:iCs/>
          <w:color w:val="auto"/>
          <w:szCs w:val="24"/>
        </w:rPr>
        <w:t xml:space="preserve">option </w:t>
      </w:r>
      <w:r>
        <w:rPr>
          <w:rFonts w:asciiTheme="minorHAnsi" w:eastAsiaTheme="majorEastAsia" w:hAnsiTheme="minorHAnsi" w:cstheme="minorHAnsi"/>
          <w:bCs/>
          <w:iCs/>
          <w:color w:val="auto"/>
          <w:szCs w:val="24"/>
        </w:rPr>
        <w:t>below.</w:t>
      </w:r>
      <w:r w:rsidR="008653AD">
        <w:rPr>
          <w:rFonts w:asciiTheme="minorHAnsi" w:eastAsiaTheme="majorEastAsia" w:hAnsiTheme="minorHAnsi" w:cstheme="minorHAnsi"/>
          <w:bCs/>
          <w:iCs/>
          <w:color w:val="auto"/>
          <w:szCs w:val="24"/>
        </w:rPr>
        <w:t xml:space="preserve"> </w:t>
      </w:r>
      <w:r w:rsidR="00337FB3">
        <w:rPr>
          <w:rFonts w:asciiTheme="minorHAnsi" w:eastAsiaTheme="majorEastAsia" w:hAnsiTheme="minorHAnsi" w:cstheme="minorHAnsi"/>
          <w:bCs/>
          <w:iCs/>
          <w:color w:val="auto"/>
          <w:szCs w:val="24"/>
        </w:rPr>
        <w:t xml:space="preserve">Select only one option here; additional endpoints can be specified in the </w:t>
      </w:r>
      <w:r w:rsidR="00337FB3" w:rsidRPr="00C36AB8">
        <w:rPr>
          <w:rFonts w:asciiTheme="minorHAnsi" w:eastAsiaTheme="majorEastAsia" w:hAnsiTheme="minorHAnsi" w:cstheme="minorHAnsi"/>
          <w:b/>
          <w:bCs/>
          <w:iCs/>
          <w:color w:val="025598"/>
          <w:szCs w:val="24"/>
        </w:rPr>
        <w:t>Additional Endpoints</w:t>
      </w:r>
      <w:r w:rsidR="00337FB3">
        <w:rPr>
          <w:rFonts w:asciiTheme="minorHAnsi" w:eastAsiaTheme="majorEastAsia" w:hAnsiTheme="minorHAnsi" w:cstheme="minorHAnsi"/>
          <w:bCs/>
          <w:iCs/>
          <w:color w:val="auto"/>
          <w:szCs w:val="24"/>
        </w:rPr>
        <w:t xml:space="preserve"> section below.</w:t>
      </w:r>
    </w:p>
    <w:tbl>
      <w:tblPr>
        <w:tblStyle w:val="TableGrid"/>
        <w:tblW w:w="0" w:type="auto"/>
        <w:tblLayout w:type="fixed"/>
        <w:tblLook w:val="04A0" w:firstRow="1" w:lastRow="0" w:firstColumn="1" w:lastColumn="0" w:noHBand="0" w:noVBand="1"/>
      </w:tblPr>
      <w:tblGrid>
        <w:gridCol w:w="805"/>
        <w:gridCol w:w="1710"/>
        <w:gridCol w:w="6785"/>
      </w:tblGrid>
      <w:tr w:rsidR="0049609B" w14:paraId="5051E23E" w14:textId="670F3DA0" w:rsidTr="00394021">
        <w:tc>
          <w:tcPr>
            <w:tcW w:w="805" w:type="dxa"/>
            <w:tcBorders>
              <w:right w:val="single" w:sz="4" w:space="0" w:color="auto"/>
            </w:tcBorders>
          </w:tcPr>
          <w:p w14:paraId="3FE97A0A"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AFBA04E"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49609B" w14:paraId="0F25F74A" w14:textId="1E4BB13D" w:rsidTr="00394021">
        <w:tc>
          <w:tcPr>
            <w:tcW w:w="805" w:type="dxa"/>
            <w:tcBorders>
              <w:right w:val="single" w:sz="4" w:space="0" w:color="auto"/>
            </w:tcBorders>
          </w:tcPr>
          <w:p w14:paraId="70614E9F"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60120B64"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49609B" w14:paraId="2799E81E" w14:textId="4FFB34FA" w:rsidTr="00394021">
        <w:tc>
          <w:tcPr>
            <w:tcW w:w="805" w:type="dxa"/>
            <w:tcBorders>
              <w:right w:val="single" w:sz="4" w:space="0" w:color="auto"/>
            </w:tcBorders>
          </w:tcPr>
          <w:p w14:paraId="3AF9FF32"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23C0002D" w14:textId="3E6E36AC" w:rsidR="0049609B" w:rsidRDefault="0049609B" w:rsidP="008E2BF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49609B" w14:paraId="58FEB2D3" w14:textId="3DD78CE9" w:rsidTr="00394021">
        <w:tc>
          <w:tcPr>
            <w:tcW w:w="805" w:type="dxa"/>
            <w:tcBorders>
              <w:bottom w:val="single" w:sz="4" w:space="0" w:color="auto"/>
              <w:right w:val="single" w:sz="4" w:space="0" w:color="auto"/>
            </w:tcBorders>
          </w:tcPr>
          <w:p w14:paraId="5E954863"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194AB61" w14:textId="016BE019"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5"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49609B" w14:paraId="00AFD79F" w14:textId="38BCF49D" w:rsidTr="00394021">
        <w:tc>
          <w:tcPr>
            <w:tcW w:w="805" w:type="dxa"/>
            <w:tcBorders>
              <w:top w:val="single" w:sz="4" w:space="0" w:color="auto"/>
              <w:left w:val="nil"/>
              <w:bottom w:val="nil"/>
              <w:right w:val="nil"/>
            </w:tcBorders>
          </w:tcPr>
          <w:p w14:paraId="5F2B7714"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74B68ACC" w14:textId="71D329D7"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21842B09" w14:textId="7DF9D6E8" w:rsidR="0049609B" w:rsidRDefault="0049609B" w:rsidP="002D496F">
            <w:pPr>
              <w:spacing w:before="0" w:after="0" w:line="276" w:lineRule="auto"/>
              <w:rPr>
                <w:rFonts w:asciiTheme="minorHAnsi" w:eastAsiaTheme="majorEastAsia" w:hAnsiTheme="minorHAnsi" w:cstheme="minorHAnsi"/>
                <w:bCs/>
                <w:iCs/>
                <w:color w:val="auto"/>
                <w:szCs w:val="24"/>
              </w:rPr>
            </w:pPr>
          </w:p>
        </w:tc>
      </w:tr>
    </w:tbl>
    <w:p w14:paraId="4A74706E" w14:textId="77777777" w:rsidR="007A4991" w:rsidRPr="007E77FD" w:rsidRDefault="007E77FD" w:rsidP="007E77FD">
      <w:pPr>
        <w:pStyle w:val="Heading4"/>
        <w:spacing w:after="240"/>
        <w:rPr>
          <w:sz w:val="30"/>
          <w:szCs w:val="30"/>
        </w:rPr>
      </w:pPr>
      <w:r w:rsidRPr="007E77FD">
        <w:rPr>
          <w:sz w:val="30"/>
          <w:szCs w:val="30"/>
        </w:rPr>
        <w:t>Notification Frequency</w:t>
      </w:r>
    </w:p>
    <w:p w14:paraId="700A0A25" w14:textId="4EFA819F" w:rsidR="006A4A6A" w:rsidRDefault="006A4A6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Notifications can be delivered in real-time or batch delivered. Indicate your preferred notification frequency below. </w:t>
      </w:r>
      <w:r w:rsidR="001A79CF">
        <w:rPr>
          <w:rFonts w:asciiTheme="minorHAnsi" w:eastAsiaTheme="majorEastAsia" w:hAnsiTheme="minorHAnsi" w:cstheme="minorHAnsi"/>
          <w:bCs/>
          <w:iCs/>
          <w:color w:val="auto"/>
          <w:szCs w:val="24"/>
        </w:rPr>
        <w:t xml:space="preserve">Select only one option here; additional endpoint configurations can be specified in the </w:t>
      </w:r>
      <w:r w:rsidR="001A79CF" w:rsidRPr="00C36AB8">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w:t>
      </w:r>
      <w:r>
        <w:rPr>
          <w:rFonts w:asciiTheme="minorHAnsi" w:eastAsiaTheme="majorEastAsia" w:hAnsiTheme="minorHAnsi" w:cstheme="minorHAnsi"/>
          <w:bCs/>
          <w:iCs/>
          <w:color w:val="auto"/>
          <w:szCs w:val="24"/>
        </w:rPr>
        <w:t xml:space="preserve"> There is no need to choose a frequency for PROMPT as notifications </w:t>
      </w:r>
      <w:r w:rsidR="007052E4">
        <w:rPr>
          <w:rFonts w:asciiTheme="minorHAnsi" w:eastAsiaTheme="majorEastAsia" w:hAnsiTheme="minorHAnsi" w:cstheme="minorHAnsi"/>
          <w:bCs/>
          <w:iCs/>
          <w:color w:val="auto"/>
          <w:szCs w:val="24"/>
        </w:rPr>
        <w:t xml:space="preserve">populate </w:t>
      </w:r>
      <w:r>
        <w:rPr>
          <w:rFonts w:asciiTheme="minorHAnsi" w:eastAsiaTheme="majorEastAsia" w:hAnsiTheme="minorHAnsi" w:cstheme="minorHAnsi"/>
          <w:bCs/>
          <w:iCs/>
          <w:color w:val="auto"/>
          <w:szCs w:val="24"/>
        </w:rPr>
        <w:t>in PROMPT in real-time.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1D9301C7" w14:textId="77777777" w:rsidTr="005A0703">
        <w:tc>
          <w:tcPr>
            <w:tcW w:w="805" w:type="dxa"/>
            <w:tcBorders>
              <w:top w:val="single" w:sz="4" w:space="0" w:color="auto"/>
              <w:left w:val="single" w:sz="4" w:space="0" w:color="auto"/>
              <w:bottom w:val="single" w:sz="4" w:space="0" w:color="auto"/>
              <w:right w:val="single" w:sz="4" w:space="0" w:color="auto"/>
            </w:tcBorders>
          </w:tcPr>
          <w:p w14:paraId="024FACA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59FC69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7EFF61C2" w14:textId="77777777" w:rsidTr="005A0703">
        <w:tc>
          <w:tcPr>
            <w:tcW w:w="805" w:type="dxa"/>
            <w:tcBorders>
              <w:top w:val="single" w:sz="4" w:space="0" w:color="auto"/>
              <w:left w:val="single" w:sz="4" w:space="0" w:color="auto"/>
              <w:bottom w:val="single" w:sz="4" w:space="0" w:color="auto"/>
              <w:right w:val="single" w:sz="4" w:space="0" w:color="auto"/>
            </w:tcBorders>
          </w:tcPr>
          <w:p w14:paraId="2BB7F5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B43B18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51E87955" w14:textId="77777777" w:rsidTr="005A0703">
        <w:tc>
          <w:tcPr>
            <w:tcW w:w="805" w:type="dxa"/>
            <w:tcBorders>
              <w:top w:val="single" w:sz="4" w:space="0" w:color="auto"/>
              <w:left w:val="single" w:sz="4" w:space="0" w:color="auto"/>
              <w:bottom w:val="single" w:sz="4" w:space="0" w:color="auto"/>
              <w:right w:val="single" w:sz="4" w:space="0" w:color="auto"/>
            </w:tcBorders>
          </w:tcPr>
          <w:p w14:paraId="265653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8BFD20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7E84FA52" w14:textId="77777777" w:rsidTr="005A0703">
        <w:tc>
          <w:tcPr>
            <w:tcW w:w="805" w:type="dxa"/>
            <w:tcBorders>
              <w:top w:val="single" w:sz="4" w:space="0" w:color="auto"/>
              <w:left w:val="single" w:sz="4" w:space="0" w:color="auto"/>
              <w:bottom w:val="single" w:sz="4" w:space="0" w:color="auto"/>
              <w:right w:val="single" w:sz="4" w:space="0" w:color="auto"/>
            </w:tcBorders>
          </w:tcPr>
          <w:p w14:paraId="5E838D3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77CD60E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1D0C5E2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4351CF52" w14:textId="77777777" w:rsidR="006A4A6A" w:rsidRPr="007052E4" w:rsidRDefault="007052E4" w:rsidP="007052E4">
      <w:pPr>
        <w:pStyle w:val="Heading4"/>
        <w:spacing w:after="240"/>
        <w:rPr>
          <w:sz w:val="30"/>
          <w:szCs w:val="30"/>
        </w:rPr>
      </w:pPr>
      <w:r w:rsidRPr="007052E4">
        <w:rPr>
          <w:sz w:val="30"/>
          <w:szCs w:val="30"/>
        </w:rPr>
        <w:lastRenderedPageBreak/>
        <w:t>Notification Format</w:t>
      </w:r>
    </w:p>
    <w:p w14:paraId="348B53EF" w14:textId="77777777" w:rsidR="00432D06" w:rsidRDefault="00432D06" w:rsidP="00394021">
      <w:pPr>
        <w:spacing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standard </w:t>
      </w:r>
      <w:r w:rsidR="001E1B38">
        <w:rPr>
          <w:rFonts w:asciiTheme="minorHAnsi" w:eastAsiaTheme="majorEastAsia" w:hAnsiTheme="minorHAnsi" w:cstheme="minorHAnsi"/>
          <w:bCs/>
          <w:iCs/>
          <w:color w:val="auto"/>
          <w:szCs w:val="24"/>
        </w:rPr>
        <w:t xml:space="preserve">CSV and HL7 </w:t>
      </w:r>
      <w:r>
        <w:rPr>
          <w:rFonts w:asciiTheme="minorHAnsi" w:eastAsiaTheme="majorEastAsia" w:hAnsiTheme="minorHAnsi" w:cstheme="minorHAnsi"/>
          <w:bCs/>
          <w:iCs/>
          <w:color w:val="auto"/>
          <w:szCs w:val="24"/>
        </w:rPr>
        <w:t>notification formatting options can be previewed by double-clicking on the icon below. Note that not all fields will be populated in all notifications due to dependency upon data sources to provide this information.</w:t>
      </w:r>
    </w:p>
    <w:p w14:paraId="601FB4D0" w14:textId="77777777" w:rsidR="00432D06" w:rsidRDefault="00432D06" w:rsidP="001E1B38">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08" w:dyaOrig="984" w14:anchorId="46E55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6" o:title=""/>
          </v:shape>
          <o:OLEObject Type="Embed" ProgID="Excel.Sheet.12" ShapeID="_x0000_i1025" DrawAspect="Icon" ObjectID="_1604747130" r:id="rId17"/>
        </w:object>
      </w:r>
    </w:p>
    <w:p w14:paraId="3B688A39" w14:textId="1D47D357" w:rsidR="009B38AF" w:rsidRDefault="00432D06" w:rsidP="00394021">
      <w:pPr>
        <w:spacing w:before="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Indicate your preferred notification format below.</w:t>
      </w:r>
      <w:r w:rsidR="001A79CF">
        <w:rPr>
          <w:rFonts w:asciiTheme="minorHAnsi" w:eastAsiaTheme="majorEastAsia" w:hAnsiTheme="minorHAnsi" w:cstheme="minorHAnsi"/>
          <w:bCs/>
          <w:iCs/>
          <w:color w:val="auto"/>
          <w:szCs w:val="24"/>
        </w:rPr>
        <w:t xml:space="preserve"> Select only one option here; additional endpoint configurations can be specified in the </w:t>
      </w:r>
      <w:r w:rsidR="001A79CF" w:rsidRPr="009B210F">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 </w:t>
      </w:r>
      <w:r w:rsidR="0017498A">
        <w:rPr>
          <w:rFonts w:asciiTheme="minorHAnsi" w:eastAsiaTheme="majorEastAsia" w:hAnsiTheme="minorHAnsi" w:cstheme="minorHAnsi"/>
          <w:bCs/>
          <w:iCs/>
          <w:color w:val="auto"/>
          <w:szCs w:val="24"/>
        </w:rPr>
        <w:t>There is no need to choose a format for PROMPT.</w:t>
      </w:r>
    </w:p>
    <w:tbl>
      <w:tblPr>
        <w:tblStyle w:val="TableGrid"/>
        <w:tblW w:w="0" w:type="auto"/>
        <w:tblLook w:val="04A0" w:firstRow="1" w:lastRow="0" w:firstColumn="1" w:lastColumn="0" w:noHBand="0" w:noVBand="1"/>
      </w:tblPr>
      <w:tblGrid>
        <w:gridCol w:w="805"/>
        <w:gridCol w:w="1620"/>
        <w:gridCol w:w="6925"/>
      </w:tblGrid>
      <w:tr w:rsidR="00D461E2" w14:paraId="02489693" w14:textId="77777777" w:rsidTr="005A0703">
        <w:tc>
          <w:tcPr>
            <w:tcW w:w="805" w:type="dxa"/>
            <w:tcBorders>
              <w:right w:val="single" w:sz="4" w:space="0" w:color="auto"/>
            </w:tcBorders>
          </w:tcPr>
          <w:p w14:paraId="07A3684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2E33A84"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C1E3E7D" w14:textId="77777777" w:rsidTr="005A0703">
        <w:tc>
          <w:tcPr>
            <w:tcW w:w="805" w:type="dxa"/>
            <w:tcBorders>
              <w:bottom w:val="single" w:sz="4" w:space="0" w:color="auto"/>
              <w:right w:val="single" w:sz="4" w:space="0" w:color="auto"/>
            </w:tcBorders>
          </w:tcPr>
          <w:p w14:paraId="35C536D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69D644E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7AE36854" w14:textId="77777777" w:rsidTr="005A0703">
        <w:tc>
          <w:tcPr>
            <w:tcW w:w="805" w:type="dxa"/>
            <w:tcBorders>
              <w:bottom w:val="single" w:sz="4" w:space="0" w:color="auto"/>
              <w:right w:val="single" w:sz="4" w:space="0" w:color="auto"/>
            </w:tcBorders>
          </w:tcPr>
          <w:p w14:paraId="0F5022D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10548AD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65FF91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6A838D02" w14:textId="77777777" w:rsidR="00C36AB8" w:rsidRDefault="00C36AB8" w:rsidP="001E1B38">
      <w:pPr>
        <w:pStyle w:val="Heading4"/>
        <w:spacing w:after="240"/>
        <w:rPr>
          <w:sz w:val="30"/>
          <w:szCs w:val="30"/>
        </w:rPr>
      </w:pPr>
      <w:r>
        <w:rPr>
          <w:sz w:val="30"/>
          <w:szCs w:val="30"/>
        </w:rPr>
        <w:t>Additional Endpoints</w:t>
      </w:r>
    </w:p>
    <w:p w14:paraId="53C57E5C" w14:textId="77777777" w:rsidR="00C36AB8" w:rsidRDefault="00C36AB8" w:rsidP="00C36AB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would like notifications delivered to </w:t>
      </w:r>
      <w:r w:rsidR="009B210F">
        <w:rPr>
          <w:rFonts w:asciiTheme="minorHAnsi" w:eastAsiaTheme="majorEastAsia" w:hAnsiTheme="minorHAnsi" w:cstheme="minorHAnsi"/>
          <w:bCs/>
          <w:iCs/>
          <w:color w:val="auto"/>
          <w:szCs w:val="24"/>
        </w:rPr>
        <w:t>additional endpoints beyond the one set up above</w:t>
      </w:r>
      <w:r>
        <w:rPr>
          <w:rFonts w:asciiTheme="minorHAnsi" w:eastAsiaTheme="majorEastAsia" w:hAnsiTheme="minorHAnsi" w:cstheme="minorHAnsi"/>
          <w:bCs/>
          <w:iCs/>
          <w:color w:val="auto"/>
          <w:szCs w:val="24"/>
        </w:rPr>
        <w:t xml:space="preserve">, use the </w:t>
      </w:r>
      <w:r w:rsidR="008909D5">
        <w:rPr>
          <w:rFonts w:asciiTheme="minorHAnsi" w:eastAsiaTheme="majorEastAsia" w:hAnsiTheme="minorHAnsi" w:cstheme="minorHAnsi"/>
          <w:bCs/>
          <w:iCs/>
          <w:color w:val="auto"/>
          <w:szCs w:val="24"/>
        </w:rPr>
        <w:t>boxes</w:t>
      </w:r>
      <w:r>
        <w:rPr>
          <w:rFonts w:asciiTheme="minorHAnsi" w:eastAsiaTheme="majorEastAsia" w:hAnsiTheme="minorHAnsi" w:cstheme="minorHAnsi"/>
          <w:bCs/>
          <w:iCs/>
          <w:color w:val="auto"/>
          <w:szCs w:val="24"/>
        </w:rPr>
        <w:t xml:space="preserve"> below to indicate how these additional endpoints should be set up.</w:t>
      </w:r>
    </w:p>
    <w:p w14:paraId="5A8D7A32" w14:textId="77777777"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 xml:space="preserve">Endpoint #2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8"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87B9B6"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6BA94BFA"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lastRenderedPageBreak/>
        <w:t>Endpoint #</w:t>
      </w:r>
      <w:r>
        <w:rPr>
          <w:rFonts w:asciiTheme="minorHAnsi" w:eastAsiaTheme="majorEastAsia" w:hAnsiTheme="minorHAnsi" w:cstheme="minorHAnsi"/>
          <w:b/>
          <w:bCs/>
          <w:i/>
          <w:iCs/>
          <w:color w:val="025598"/>
          <w:sz w:val="28"/>
          <w:szCs w:val="24"/>
        </w:rPr>
        <w:t>3</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9"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20"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subscriptions can be customized to generate notifications based on specific triggers. A hospital, for example, could set up ENS to generate notifications on the subset of matched ADTs that include a cardiac-related diagnosis code in order to route just those notifications to its owned cardiology practice. Or a physician practice could route all notifications to one 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0065721C">
        <w:tc>
          <w:tcPr>
            <w:tcW w:w="895" w:type="dxa"/>
          </w:tcPr>
          <w:p w14:paraId="67101D44"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0065721C">
        <w:tc>
          <w:tcPr>
            <w:tcW w:w="895" w:type="dxa"/>
          </w:tcPr>
          <w:p w14:paraId="22B5865E"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1F871597" w14:textId="77777777" w:rsidR="00AA4C5B" w:rsidRDefault="00AA4C5B" w:rsidP="00C85906">
      <w:pPr>
        <w:pStyle w:val="Heading4"/>
        <w:spacing w:after="240"/>
        <w:rPr>
          <w:sz w:val="30"/>
          <w:szCs w:val="30"/>
        </w:rPr>
      </w:pPr>
    </w:p>
    <w:p w14:paraId="5CFA43E9" w14:textId="77777777" w:rsidR="00AA4C5B" w:rsidRDefault="00AA4C5B">
      <w:pPr>
        <w:spacing w:before="0" w:after="160" w:line="259" w:lineRule="auto"/>
        <w:rPr>
          <w:rFonts w:eastAsiaTheme="majorEastAsia" w:cstheme="majorBidi"/>
          <w:b/>
          <w:bCs/>
          <w:iCs/>
          <w:color w:val="025598"/>
          <w:sz w:val="30"/>
          <w:szCs w:val="30"/>
        </w:rPr>
      </w:pPr>
      <w:r>
        <w:rPr>
          <w:sz w:val="30"/>
          <w:szCs w:val="30"/>
        </w:rPr>
        <w:br w:type="page"/>
      </w:r>
    </w:p>
    <w:p w14:paraId="2A2FDC6B" w14:textId="1C53FC14" w:rsidR="00C85906" w:rsidRDefault="00C85906" w:rsidP="00C85906">
      <w:pPr>
        <w:pStyle w:val="Heading4"/>
        <w:spacing w:after="240"/>
        <w:rPr>
          <w:sz w:val="30"/>
          <w:szCs w:val="30"/>
        </w:rPr>
      </w:pPr>
      <w:r>
        <w:rPr>
          <w:sz w:val="30"/>
          <w:szCs w:val="30"/>
        </w:rPr>
        <w:lastRenderedPageBreak/>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CC43BC9"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Outbound – this folder is where your organization should upload the initial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 any subsequent updates. You must email </w:t>
      </w:r>
      <w:hyperlink r:id="rId21" w:history="1">
        <w:r w:rsidRPr="00EA701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lastRenderedPageBreak/>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bl>
    <w:p w14:paraId="0C402629" w14:textId="77777777" w:rsidR="009B210F" w:rsidRDefault="009B210F" w:rsidP="009B210F">
      <w:pPr>
        <w:pStyle w:val="Heading4"/>
        <w:spacing w:after="240"/>
        <w:rPr>
          <w:sz w:val="30"/>
          <w:szCs w:val="30"/>
        </w:rPr>
      </w:pPr>
      <w:r>
        <w:rPr>
          <w:sz w:val="30"/>
          <w:szCs w:val="30"/>
        </w:rPr>
        <w:t>Care Team Information</w:t>
      </w:r>
    </w:p>
    <w:p w14:paraId="1404A600" w14:textId="6EE24D4C"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Note that Care Team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77777777" w:rsidR="009C6CCA"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share Care Team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7777777" w:rsidR="007F381F"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share Care Team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rsidTr="0065721C">
        <w:tc>
          <w:tcPr>
            <w:tcW w:w="5125" w:type="dxa"/>
          </w:tcPr>
          <w:p w14:paraId="449929A2"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r w:rsidR="00AA4C5B" w14:paraId="47FA8401" w14:textId="77777777" w:rsidTr="0065721C">
        <w:tc>
          <w:tcPr>
            <w:tcW w:w="5125" w:type="dxa"/>
          </w:tcPr>
          <w:p w14:paraId="59356BFA"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bl>
    <w:p w14:paraId="75D4E706" w14:textId="4E0E22C6" w:rsidR="00AA4C5B" w:rsidRPr="00AA4C5B" w:rsidRDefault="00AA4C5B" w:rsidP="00AA4C5B">
      <w:pPr>
        <w:rPr>
          <w:rFonts w:asciiTheme="minorHAnsi" w:eastAsiaTheme="majorEastAsia" w:hAnsiTheme="minorHAnsi" w:cstheme="minorHAnsi"/>
          <w:bCs/>
          <w:iCs/>
          <w:color w:val="auto"/>
          <w:szCs w:val="24"/>
        </w:rPr>
      </w:pPr>
      <w:r w:rsidRPr="00AA4C5B">
        <w:rPr>
          <w:rFonts w:asciiTheme="minorHAnsi" w:eastAsiaTheme="majorEastAsia" w:hAnsiTheme="minorHAnsi" w:cstheme="minorHAnsi"/>
          <w:bCs/>
          <w:iCs/>
          <w:color w:val="auto"/>
          <w:szCs w:val="24"/>
        </w:rPr>
        <w:t xml:space="preserve">Once completed, send this ENS Onboarding Checklist along with a signed </w:t>
      </w:r>
      <w:hyperlink r:id="rId22" w:history="1">
        <w:r w:rsidRPr="00AA4C5B">
          <w:rPr>
            <w:rFonts w:asciiTheme="minorHAnsi" w:eastAsiaTheme="majorEastAsia" w:hAnsiTheme="minorHAnsi" w:cstheme="minorHAnsi"/>
            <w:bCs/>
            <w:iCs/>
            <w:color w:val="auto"/>
            <w:szCs w:val="24"/>
          </w:rPr>
          <w:t>ENS Agreement</w:t>
        </w:r>
      </w:hyperlink>
      <w:r w:rsidRPr="00AA4C5B">
        <w:rPr>
          <w:rFonts w:asciiTheme="minorHAnsi" w:eastAsiaTheme="majorEastAsia" w:hAnsiTheme="minorHAnsi" w:cstheme="minorHAnsi"/>
          <w:bCs/>
          <w:iCs/>
          <w:color w:val="auto"/>
          <w:szCs w:val="24"/>
        </w:rPr>
        <w:t xml:space="preserve"> to the Florida HIE Services at </w:t>
      </w:r>
      <w:hyperlink r:id="rId23" w:history="1">
        <w:r w:rsidRPr="0020729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p>
    <w:p w14:paraId="338FFE3B" w14:textId="77777777" w:rsidR="000968E8" w:rsidRPr="007A4991" w:rsidRDefault="000968E8" w:rsidP="000968E8">
      <w:pPr>
        <w:pStyle w:val="Heading4"/>
        <w:spacing w:after="240"/>
        <w:rPr>
          <w:sz w:val="30"/>
          <w:szCs w:val="30"/>
        </w:rPr>
      </w:pPr>
      <w:r>
        <w:rPr>
          <w:sz w:val="30"/>
          <w:szCs w:val="30"/>
        </w:rPr>
        <w:lastRenderedPageBreak/>
        <w:t>Preparing the Patient</w:t>
      </w:r>
      <w:r w:rsidRPr="007A4991">
        <w:rPr>
          <w:sz w:val="30"/>
          <w:szCs w:val="30"/>
        </w:rPr>
        <w:t xml:space="preserve"> </w:t>
      </w:r>
      <w:r>
        <w:rPr>
          <w:sz w:val="30"/>
          <w:szCs w:val="30"/>
        </w:rPr>
        <w:t>Panel</w:t>
      </w:r>
    </w:p>
    <w:p w14:paraId="3618E896" w14:textId="77777777" w:rsidR="000968E8" w:rsidRPr="009B38AF"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As part of the onboarding process, your organization will need to provide a panel of all patients (or members) on whom it is subscribing to receive encounter notifications. Please use the ENS Patient Panel Template embedded below to prepare your patient panel. </w:t>
      </w:r>
    </w:p>
    <w:p w14:paraId="749FA372" w14:textId="77777777" w:rsidR="000968E8" w:rsidRDefault="000968E8" w:rsidP="000968E8">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08" w:dyaOrig="984" w14:anchorId="7D65558D">
          <v:shape id="_x0000_i1026" type="#_x0000_t75" style="width:76pt;height:49pt" o:ole="">
            <v:imagedata r:id="rId24" o:title=""/>
          </v:shape>
          <o:OLEObject Type="Embed" ProgID="Excel.Sheet.12" ShapeID="_x0000_i1026" DrawAspect="Icon" ObjectID="_1604747131" r:id="rId25"/>
        </w:object>
      </w:r>
    </w:p>
    <w:p w14:paraId="2B4E4E44" w14:textId="77777777"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Medical Record Number (MRN) provided by your organization in column C of the panel must be unique to each patient and should remain consistent across panel updates. The optional custom fields in columns S, T, and U can be used to provide information specific to each patient that your organization wants included as part of your notifications. For example, a custom field can be used to flag certain patients as participating in a diabetes case management program, allowing that information to be included in future notifications. Subscribers can add additional custom field columns on the right-hand side of the template as needed.</w:t>
      </w:r>
    </w:p>
    <w:p w14:paraId="761D584C"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Panels without patient addresses are not eligible for troubleshooting on missed notifications. Your organization will be notified if your panel requires any changes.</w:t>
      </w:r>
    </w:p>
    <w:p w14:paraId="5ED15464"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An updated panel should be provided to the Florida HIE Services monthly to ensure that patient demographics remain up-to-date, to remove any patients for whom the subscriber no longer has authorization, and to add new patients. 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p>
    <w:p w14:paraId="5A01429D" w14:textId="77777777" w:rsidR="000968E8" w:rsidRPr="00394021" w:rsidRDefault="000968E8" w:rsidP="00394021">
      <w:pPr>
        <w:rPr>
          <w:b/>
        </w:rPr>
      </w:pPr>
    </w:p>
    <w:sectPr w:rsidR="000968E8" w:rsidRPr="00394021" w:rsidSect="009E12B3">
      <w:headerReference w:type="default" r:id="rId26"/>
      <w:footerReference w:type="default" r:id="rId27"/>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7FC7" w14:textId="77777777" w:rsidR="00B02F94" w:rsidRDefault="00B02F94" w:rsidP="00EE1AE4">
      <w:pPr>
        <w:spacing w:after="0"/>
      </w:pPr>
      <w:r>
        <w:separator/>
      </w:r>
    </w:p>
  </w:endnote>
  <w:endnote w:type="continuationSeparator" w:id="0">
    <w:p w14:paraId="5F68CE39" w14:textId="77777777" w:rsidR="00B02F94" w:rsidRDefault="00B02F94"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2244DC"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A64748"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1E23" w14:textId="77777777" w:rsidR="00B02F94" w:rsidRDefault="00B02F94" w:rsidP="00EE1AE4">
      <w:pPr>
        <w:spacing w:after="0"/>
      </w:pPr>
      <w:r>
        <w:separator/>
      </w:r>
    </w:p>
  </w:footnote>
  <w:footnote w:type="continuationSeparator" w:id="0">
    <w:p w14:paraId="3F7CEB58" w14:textId="77777777" w:rsidR="00B02F94" w:rsidRDefault="00B02F94"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7323" w14:textId="2DE6B8DE"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7A733C">
      <w:rPr>
        <w:rFonts w:ascii="Helvetica Neue" w:hAnsi="Helvetica Neue" w:cs="Arial"/>
        <w:noProof/>
        <w:color w:val="4692CF"/>
      </w:rPr>
      <w:t>4</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19"/>
  </w:num>
  <w:num w:numId="10">
    <w:abstractNumId w:val="4"/>
  </w:num>
  <w:num w:numId="11">
    <w:abstractNumId w:val="21"/>
  </w:num>
  <w:num w:numId="12">
    <w:abstractNumId w:val="7"/>
  </w:num>
  <w:num w:numId="13">
    <w:abstractNumId w:val="17"/>
  </w:num>
  <w:num w:numId="14">
    <w:abstractNumId w:val="2"/>
  </w:num>
  <w:num w:numId="15">
    <w:abstractNumId w:val="16"/>
  </w:num>
  <w:num w:numId="16">
    <w:abstractNumId w:val="15"/>
  </w:num>
  <w:num w:numId="17">
    <w:abstractNumId w:val="12"/>
  </w:num>
  <w:num w:numId="18">
    <w:abstractNumId w:val="13"/>
  </w:num>
  <w:num w:numId="19">
    <w:abstractNumId w:val="18"/>
  </w:num>
  <w:num w:numId="20">
    <w:abstractNumId w:val="2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68E8"/>
    <w:rsid w:val="000C0FDC"/>
    <w:rsid w:val="000F3D1F"/>
    <w:rsid w:val="000F5627"/>
    <w:rsid w:val="001064B3"/>
    <w:rsid w:val="00122099"/>
    <w:rsid w:val="00125F84"/>
    <w:rsid w:val="00131688"/>
    <w:rsid w:val="00137BE8"/>
    <w:rsid w:val="00162D52"/>
    <w:rsid w:val="00165FED"/>
    <w:rsid w:val="00174972"/>
    <w:rsid w:val="0017498A"/>
    <w:rsid w:val="00181EFA"/>
    <w:rsid w:val="001946DC"/>
    <w:rsid w:val="00195550"/>
    <w:rsid w:val="001A79CF"/>
    <w:rsid w:val="001B0027"/>
    <w:rsid w:val="001C0865"/>
    <w:rsid w:val="001C4725"/>
    <w:rsid w:val="001D61E1"/>
    <w:rsid w:val="001E03AA"/>
    <w:rsid w:val="001E1977"/>
    <w:rsid w:val="001E1B38"/>
    <w:rsid w:val="001E3F6E"/>
    <w:rsid w:val="001E7F1E"/>
    <w:rsid w:val="00212DA2"/>
    <w:rsid w:val="002244DC"/>
    <w:rsid w:val="00230E56"/>
    <w:rsid w:val="002451DF"/>
    <w:rsid w:val="002521E4"/>
    <w:rsid w:val="0026338C"/>
    <w:rsid w:val="00273217"/>
    <w:rsid w:val="002737E6"/>
    <w:rsid w:val="00274BCC"/>
    <w:rsid w:val="00281496"/>
    <w:rsid w:val="00284F59"/>
    <w:rsid w:val="002A11A6"/>
    <w:rsid w:val="002A44DF"/>
    <w:rsid w:val="002D496F"/>
    <w:rsid w:val="002E06EF"/>
    <w:rsid w:val="003330EC"/>
    <w:rsid w:val="00337FB3"/>
    <w:rsid w:val="00361BED"/>
    <w:rsid w:val="003638A8"/>
    <w:rsid w:val="00364FD2"/>
    <w:rsid w:val="00394021"/>
    <w:rsid w:val="003A70C1"/>
    <w:rsid w:val="003C494F"/>
    <w:rsid w:val="0040700D"/>
    <w:rsid w:val="0041674B"/>
    <w:rsid w:val="00432600"/>
    <w:rsid w:val="00432D06"/>
    <w:rsid w:val="00440F56"/>
    <w:rsid w:val="00451CEF"/>
    <w:rsid w:val="0045589D"/>
    <w:rsid w:val="0049609B"/>
    <w:rsid w:val="004B775C"/>
    <w:rsid w:val="004D48F8"/>
    <w:rsid w:val="004E1907"/>
    <w:rsid w:val="004E29A3"/>
    <w:rsid w:val="00500400"/>
    <w:rsid w:val="00501D8E"/>
    <w:rsid w:val="00515673"/>
    <w:rsid w:val="00535871"/>
    <w:rsid w:val="00540DD1"/>
    <w:rsid w:val="00544CF5"/>
    <w:rsid w:val="00544F2A"/>
    <w:rsid w:val="00570539"/>
    <w:rsid w:val="00592255"/>
    <w:rsid w:val="005977B0"/>
    <w:rsid w:val="005B7B21"/>
    <w:rsid w:val="005C3C22"/>
    <w:rsid w:val="005D3958"/>
    <w:rsid w:val="005D4B71"/>
    <w:rsid w:val="005E3887"/>
    <w:rsid w:val="005E4B8A"/>
    <w:rsid w:val="005E61F3"/>
    <w:rsid w:val="005E69FF"/>
    <w:rsid w:val="005F62BE"/>
    <w:rsid w:val="006053EF"/>
    <w:rsid w:val="00642BEB"/>
    <w:rsid w:val="00661D35"/>
    <w:rsid w:val="00671FE7"/>
    <w:rsid w:val="0069711C"/>
    <w:rsid w:val="006A4A6A"/>
    <w:rsid w:val="006A6CE3"/>
    <w:rsid w:val="006A76AB"/>
    <w:rsid w:val="006B3C1B"/>
    <w:rsid w:val="006D13C3"/>
    <w:rsid w:val="006D7D4B"/>
    <w:rsid w:val="006E1480"/>
    <w:rsid w:val="006E5F0E"/>
    <w:rsid w:val="006F2EFD"/>
    <w:rsid w:val="006F3A71"/>
    <w:rsid w:val="00700C16"/>
    <w:rsid w:val="007052E4"/>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219"/>
    <w:rsid w:val="00880E63"/>
    <w:rsid w:val="008845F4"/>
    <w:rsid w:val="00885D22"/>
    <w:rsid w:val="008909D5"/>
    <w:rsid w:val="008A38DA"/>
    <w:rsid w:val="008C58E9"/>
    <w:rsid w:val="008C6175"/>
    <w:rsid w:val="008D0BF5"/>
    <w:rsid w:val="008D462D"/>
    <w:rsid w:val="008D753F"/>
    <w:rsid w:val="008D7563"/>
    <w:rsid w:val="008E2BFF"/>
    <w:rsid w:val="008F0800"/>
    <w:rsid w:val="008F0A81"/>
    <w:rsid w:val="008F4C2E"/>
    <w:rsid w:val="009023D9"/>
    <w:rsid w:val="00912FAC"/>
    <w:rsid w:val="0091591F"/>
    <w:rsid w:val="00920E54"/>
    <w:rsid w:val="00933401"/>
    <w:rsid w:val="00950482"/>
    <w:rsid w:val="0096702A"/>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171D"/>
    <w:rsid w:val="00A50908"/>
    <w:rsid w:val="00A53826"/>
    <w:rsid w:val="00A60723"/>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238B9"/>
    <w:rsid w:val="00B35CD1"/>
    <w:rsid w:val="00B43D53"/>
    <w:rsid w:val="00B45B41"/>
    <w:rsid w:val="00B57023"/>
    <w:rsid w:val="00B62570"/>
    <w:rsid w:val="00B65FDE"/>
    <w:rsid w:val="00B80993"/>
    <w:rsid w:val="00BA50A5"/>
    <w:rsid w:val="00BC4C15"/>
    <w:rsid w:val="00BC5C6B"/>
    <w:rsid w:val="00BE37FD"/>
    <w:rsid w:val="00C201B0"/>
    <w:rsid w:val="00C3494A"/>
    <w:rsid w:val="00C36A6C"/>
    <w:rsid w:val="00C36AB8"/>
    <w:rsid w:val="00C426AE"/>
    <w:rsid w:val="00C64152"/>
    <w:rsid w:val="00C761CD"/>
    <w:rsid w:val="00C8435C"/>
    <w:rsid w:val="00C85906"/>
    <w:rsid w:val="00CA5757"/>
    <w:rsid w:val="00CA74B3"/>
    <w:rsid w:val="00CD6A24"/>
    <w:rsid w:val="00CF6057"/>
    <w:rsid w:val="00D01CA6"/>
    <w:rsid w:val="00D022FD"/>
    <w:rsid w:val="00D03A25"/>
    <w:rsid w:val="00D16775"/>
    <w:rsid w:val="00D21E85"/>
    <w:rsid w:val="00D270BA"/>
    <w:rsid w:val="00D33484"/>
    <w:rsid w:val="00D461E2"/>
    <w:rsid w:val="00D53E97"/>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styleId="UnresolvedMention">
    <w:name w:val="Unresolved Mention"/>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riva.com/inpriva/index.php/florida-dsm/" TargetMode="External"/><Relationship Id="rId18" Type="http://schemas.openxmlformats.org/officeDocument/2006/relationships/hyperlink" Target="http://inpriva.com/inpriva/index.php/florida-ds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lhie_info@ainq.com" TargetMode="External"/><Relationship Id="rId7" Type="http://schemas.openxmlformats.org/officeDocument/2006/relationships/endnotes" Target="endnotes.xml"/><Relationship Id="rId12" Type="http://schemas.openxmlformats.org/officeDocument/2006/relationships/hyperlink" Target="mailto:FLHIE_info@ainq.com" TargetMode="External"/><Relationship Id="rId17" Type="http://schemas.openxmlformats.org/officeDocument/2006/relationships/package" Target="embeddings/Microsoft_Excel_Worksheet.xlsx"/><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flhie_info@ainq.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HIE_info@ainq.com"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inpriva.com/inpriva/index.php/florida-dsm/" TargetMode="External"/><Relationship Id="rId23" Type="http://schemas.openxmlformats.org/officeDocument/2006/relationships/hyperlink" Target="mailto:flhie_info@ainq.com" TargetMode="External"/><Relationship Id="rId28" Type="http://schemas.openxmlformats.org/officeDocument/2006/relationships/fontTable" Target="fontTable.xml"/><Relationship Id="rId10" Type="http://schemas.openxmlformats.org/officeDocument/2006/relationships/hyperlink" Target="https://www.florida-hie.net/wp-content/uploads/2018/02/ParticipationTermsandConditions5_1_17.pdf" TargetMode="External"/><Relationship Id="rId19" Type="http://schemas.openxmlformats.org/officeDocument/2006/relationships/hyperlink" Target="http://inpriva.com/inpriva/index.php/florida-dsm/" TargetMode="External"/><Relationship Id="rId4" Type="http://schemas.openxmlformats.org/officeDocument/2006/relationships/settings" Target="settings.xml"/><Relationship Id="rId9" Type="http://schemas.openxmlformats.org/officeDocument/2006/relationships/hyperlink" Target="https://www.florida-hie.net/wp-content/uploads/2018/05/FL-HIE-ENS-Subscription-Agreement_2018.pdf" TargetMode="External"/><Relationship Id="rId14" Type="http://schemas.openxmlformats.org/officeDocument/2006/relationships/hyperlink" Target="mailto:flhie_info@ainq.com" TargetMode="External"/><Relationship Id="rId22" Type="http://schemas.openxmlformats.org/officeDocument/2006/relationships/hyperlink" Target="https://www.florida-hie.net/wp-content/uploads/2018/05/FL-HIE-ENS-Subscription-Agreement_2018.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043E-393A-4C7A-A413-992D9F83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Aaron Parsons</cp:lastModifiedBy>
  <cp:revision>2</cp:revision>
  <cp:lastPrinted>2018-03-22T15:19:00Z</cp:lastPrinted>
  <dcterms:created xsi:type="dcterms:W3CDTF">2018-11-26T19:19:00Z</dcterms:created>
  <dcterms:modified xsi:type="dcterms:W3CDTF">2018-11-26T19:19:00Z</dcterms:modified>
</cp:coreProperties>
</file>